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C4484" w14:textId="77777777" w:rsidR="007706F3" w:rsidRDefault="00A046E1">
      <w:pPr>
        <w:pStyle w:val="Heading1"/>
        <w:jc w:val="center"/>
      </w:pPr>
      <w:r>
        <w:t xml:space="preserve">Tájékoztatás a hitelmoratórium meghosszabbításáról </w:t>
      </w:r>
    </w:p>
    <w:p w14:paraId="222D6741" w14:textId="77777777" w:rsidR="007706F3" w:rsidRDefault="007706F3">
      <w:pPr>
        <w:pStyle w:val="BodyText"/>
        <w:jc w:val="center"/>
      </w:pPr>
    </w:p>
    <w:p w14:paraId="42DEE049" w14:textId="77777777" w:rsidR="007706F3" w:rsidRDefault="00A046E1">
      <w:pPr>
        <w:pStyle w:val="BodyText"/>
      </w:pPr>
      <w:r>
        <w:t>Tisztelt Vállalkozó Ügyfelünk!</w:t>
      </w:r>
    </w:p>
    <w:p w14:paraId="7B4F28C8" w14:textId="099A0FB1" w:rsidR="007706F3" w:rsidRDefault="00A046E1">
      <w:pPr>
        <w:pStyle w:val="BodyText"/>
      </w:pPr>
      <w:r>
        <w:br/>
      </w:r>
      <w:r>
        <w:t xml:space="preserve">Tájékoztatjuk, hogy a hiteltörlesztési moratórium </w:t>
      </w:r>
      <w:r>
        <w:t xml:space="preserve">a Kormány </w:t>
      </w:r>
      <w:r>
        <w:t xml:space="preserve">536/2021. (IX.15.) rendelete alapján az alábbi feltételek mentén kerül meghosszabbításra vállalkozó ügyfeleink részére: </w:t>
      </w:r>
    </w:p>
    <w:p w14:paraId="26DC7FD0" w14:textId="77777777" w:rsidR="007706F3" w:rsidRDefault="00A046E1">
      <w:pPr>
        <w:pStyle w:val="BodyText"/>
      </w:pPr>
      <w:r>
        <w:t>A 2022. június 30-ig meghosszabbított hitelmoratóriumban azok a vállalkoz</w:t>
      </w:r>
      <w:r>
        <w:t>ások vehetnek részt, amelyek tevékenységéből származó nettó árbevétele a kérelem benyújtását megelőző 18 hónapban legalább 25%-kal csökkent, valamint a vállalkozás 2020. március 18. napja és a kérelem benyújtásának napja közötti időszakban nem kötött kedve</w:t>
      </w:r>
      <w:r>
        <w:t>zményes gazdaságélénkítő hitel, illetve kölcsön felvételére vonatkozó új szerződést. A hitelmoratórium igénybevételének feltételei úgy módosultak, hogy amennyiben vállalkozása jelenleg (2021. szeptember hónapban) él a hitelmoratóriummal, 2021. október 1. n</w:t>
      </w:r>
      <w:r>
        <w:t xml:space="preserve">apja és október 31. napja között nyilatkoznia kell, hogy továbbra is (2021. november 1. napjától) élni kíván vele. </w:t>
      </w:r>
    </w:p>
    <w:p w14:paraId="74200B7A" w14:textId="5C2806FB" w:rsidR="007706F3" w:rsidRDefault="00A046E1">
      <w:pPr>
        <w:pStyle w:val="BodyText"/>
      </w:pPr>
      <w:r>
        <w:t xml:space="preserve">A nyilatkozat formáját, melyet ki tud tölteni és azt cégszerű aláírásával Társaságunkhoz eljuttatni, itt találja. </w:t>
      </w:r>
      <w:r>
        <w:t xml:space="preserve"> (</w:t>
      </w:r>
      <w:hyperlink r:id="rId6" w:history="1">
        <w:r w:rsidRPr="00A046E1">
          <w:rPr>
            <w:rStyle w:val="Hyperlink"/>
          </w:rPr>
          <w:t>Morat</w:t>
        </w:r>
        <w:r w:rsidRPr="00A046E1">
          <w:rPr>
            <w:rStyle w:val="Hyperlink"/>
          </w:rPr>
          <w:t>ó</w:t>
        </w:r>
        <w:r w:rsidRPr="00A046E1">
          <w:rPr>
            <w:rStyle w:val="Hyperlink"/>
          </w:rPr>
          <w:t>rium</w:t>
        </w:r>
        <w:r w:rsidRPr="00A046E1">
          <w:rPr>
            <w:rStyle w:val="Hyperlink"/>
          </w:rPr>
          <w:t xml:space="preserve"> h</w:t>
        </w:r>
        <w:r w:rsidRPr="00A046E1">
          <w:rPr>
            <w:rStyle w:val="Hyperlink"/>
          </w:rPr>
          <w:t>osszab</w:t>
        </w:r>
        <w:r w:rsidRPr="00A046E1">
          <w:rPr>
            <w:rStyle w:val="Hyperlink"/>
          </w:rPr>
          <w:t>bí</w:t>
        </w:r>
        <w:r w:rsidRPr="00A046E1">
          <w:rPr>
            <w:rStyle w:val="Hyperlink"/>
          </w:rPr>
          <w:t>t</w:t>
        </w:r>
        <w:r w:rsidRPr="00A046E1">
          <w:rPr>
            <w:rStyle w:val="Hyperlink"/>
          </w:rPr>
          <w:t>á</w:t>
        </w:r>
        <w:r w:rsidRPr="00A046E1">
          <w:rPr>
            <w:rStyle w:val="Hyperlink"/>
          </w:rPr>
          <w:t>si</w:t>
        </w:r>
        <w:r w:rsidRPr="00A046E1">
          <w:rPr>
            <w:rStyle w:val="Hyperlink"/>
          </w:rPr>
          <w:t xml:space="preserve"> ké</w:t>
        </w:r>
        <w:r w:rsidRPr="00A046E1">
          <w:rPr>
            <w:rStyle w:val="Hyperlink"/>
          </w:rPr>
          <w:t>relem</w:t>
        </w:r>
        <w:r w:rsidRPr="00A046E1">
          <w:rPr>
            <w:rStyle w:val="Hyperlink"/>
          </w:rPr>
          <w:t xml:space="preserve"> ű</w:t>
        </w:r>
        <w:r w:rsidRPr="00A046E1">
          <w:rPr>
            <w:rStyle w:val="Hyperlink"/>
          </w:rPr>
          <w:t>rlap</w:t>
        </w:r>
      </w:hyperlink>
      <w:r>
        <w:t>)</w:t>
      </w:r>
    </w:p>
    <w:p w14:paraId="0C653B03" w14:textId="77777777" w:rsidR="007706F3" w:rsidRDefault="00A046E1">
      <w:pPr>
        <w:pStyle w:val="BodyText"/>
      </w:pPr>
      <w:r>
        <w:rPr>
          <w:b/>
          <w:bCs/>
          <w:u w:val="single"/>
        </w:rPr>
        <w:t xml:space="preserve">Kérjük a </w:t>
      </w:r>
      <w:r>
        <w:rPr>
          <w:b/>
          <w:bCs/>
          <w:u w:val="single"/>
        </w:rPr>
        <w:t xml:space="preserve">nyilatkozatban az adatokat pontosan töltse ki, és a nyilatkozat tartalmának megfelelően gondoskodjon arról, hogy az azt alátámasztó iratok az Ön rendelkezésére álljanak. </w:t>
      </w:r>
    </w:p>
    <w:p w14:paraId="2295A6F3" w14:textId="77777777" w:rsidR="007706F3" w:rsidRDefault="00A046E1">
      <w:pPr>
        <w:pStyle w:val="BodyText"/>
      </w:pPr>
      <w:r>
        <w:rPr>
          <w:b/>
          <w:bCs/>
          <w:u w:val="single"/>
        </w:rPr>
        <w:t>Felhívjuk a figyelmet hogy csak a szabályosan cégszerűen aláírt dokumentumokat van mó</w:t>
      </w:r>
      <w:r>
        <w:rPr>
          <w:b/>
          <w:bCs/>
          <w:u w:val="single"/>
        </w:rPr>
        <w:t xml:space="preserve">dunkban elfogadni, melyet székhelyünkön adhat le vagy postán juttathat el hozzánk a </w:t>
      </w:r>
      <w:r>
        <w:rPr>
          <w:b/>
          <w:bCs/>
          <w:u w:val="single"/>
        </w:rPr>
        <w:br/>
        <w:t>SGEF Zrt. 1062 Budapest, Váci út 1-3. címre legkésőbb 2021. október 31. napjával bezárólag.</w:t>
      </w:r>
      <w:r>
        <w:t xml:space="preserve"> </w:t>
      </w:r>
    </w:p>
    <w:p w14:paraId="62328F58" w14:textId="1BA8685A" w:rsidR="007706F3" w:rsidRDefault="00A046E1">
      <w:pPr>
        <w:pStyle w:val="BodyText"/>
      </w:pPr>
      <w:r>
        <w:t>Kérjük, hogy a döntése meghozatalakor tájékozódjon a Magyar Nemzeti Bank honla</w:t>
      </w:r>
      <w:r>
        <w:t xml:space="preserve">pján a moratóriummal kapcsolatosan </w:t>
      </w:r>
      <w:r>
        <w:t xml:space="preserve">közzétett információk figyelembe vételével: </w:t>
      </w:r>
    </w:p>
    <w:p w14:paraId="48B1FF5B" w14:textId="77777777" w:rsidR="007706F3" w:rsidRDefault="00A046E1">
      <w:pPr>
        <w:pStyle w:val="BodyText"/>
      </w:pPr>
      <w:r>
        <w:t>https://www.mnb.hu/sajtoszoba/sajtokozlemenyek/2021-evi-sajtokozlemenyek/moratorium-aki-teheti-celszeru-mihamarabb-folytatnia-a-torlesztest</w:t>
      </w:r>
    </w:p>
    <w:p w14:paraId="6F9E1E79" w14:textId="77777777" w:rsidR="007706F3" w:rsidRDefault="00A046E1">
      <w:pPr>
        <w:pStyle w:val="BodyText"/>
        <w:ind w:left="794"/>
        <w:rPr>
          <w:i/>
          <w:iCs/>
        </w:rPr>
      </w:pPr>
      <w:r>
        <w:rPr>
          <w:i/>
          <w:iCs/>
        </w:rPr>
        <w:t xml:space="preserve">Budapest, 2021. június 21. – </w:t>
      </w:r>
      <w:r>
        <w:rPr>
          <w:b/>
          <w:i/>
          <w:iCs/>
        </w:rPr>
        <w:t>A törl</w:t>
      </w:r>
      <w:r>
        <w:rPr>
          <w:b/>
          <w:i/>
          <w:iCs/>
        </w:rPr>
        <w:t>esztési moratórium alatti időszakban is kamat rakódik a vissza nem fizetett hitelre. Ezt a futamidő megnyújtásával évente egyenlő részletekben lehet majd visszafizetni (nem tőkésítik), s a havi törlesztő is megegyezik a fizetési stop elrendelésekor számíto</w:t>
      </w:r>
      <w:r>
        <w:rPr>
          <w:b/>
          <w:i/>
          <w:iCs/>
        </w:rPr>
        <w:t>ttal. Aki viszont nem szeretne több kamatot visszafizetni és anyagi helyzete megengedi, annak érdemes minél hamarabb ismét megkezdenie hitele törlesztését.</w:t>
      </w:r>
    </w:p>
    <w:p w14:paraId="2003EEB0" w14:textId="77777777" w:rsidR="007706F3" w:rsidRDefault="00A046E1">
      <w:pPr>
        <w:pStyle w:val="BodyText"/>
        <w:ind w:left="794"/>
        <w:rPr>
          <w:i/>
          <w:iCs/>
        </w:rPr>
      </w:pPr>
      <w:r>
        <w:rPr>
          <w:i/>
          <w:iCs/>
        </w:rPr>
        <w:t>A törlesztési moratórium igénybevétele családok százezreinek jelentett kedvező választási lehetősége</w:t>
      </w:r>
      <w:r>
        <w:rPr>
          <w:i/>
          <w:iCs/>
        </w:rPr>
        <w:t xml:space="preserve">t, a munkahelyüket elvesztő, egészségügyi vagy egyéb okok miatt nehezebb életkörülmények közé kerülőknek pedig mentőövet az elmúlt közel másfél évben. A moratórium után a törlesztést folytatók havi terheit csillapítja, időben „széthúzza” az, hogy </w:t>
      </w:r>
      <w:r>
        <w:rPr>
          <w:i/>
          <w:iCs/>
        </w:rPr>
        <w:lastRenderedPageBreak/>
        <w:t>a havi tö</w:t>
      </w:r>
      <w:r>
        <w:rPr>
          <w:i/>
          <w:iCs/>
        </w:rPr>
        <w:t>rlesztőrészletek ugyanakkorák maradnak, mint a fizetési stop lehetőségének elrendelésekor (kivéve a változó kamatozású hiteleknél).</w:t>
      </w:r>
    </w:p>
    <w:p w14:paraId="51E88A9C" w14:textId="77777777" w:rsidR="007706F3" w:rsidRDefault="00A046E1">
      <w:pPr>
        <w:pStyle w:val="BodyText"/>
        <w:ind w:left="794"/>
        <w:rPr>
          <w:i/>
          <w:iCs/>
        </w:rPr>
      </w:pPr>
      <w:r>
        <w:rPr>
          <w:i/>
          <w:iCs/>
        </w:rPr>
        <w:t>A moratórium alatt a vissza nem fizetett hitel tőkerészére folyamatosan kamat rakódik. Az adósok számára kedvező jogszabályi</w:t>
      </w:r>
      <w:r>
        <w:rPr>
          <w:i/>
          <w:iCs/>
        </w:rPr>
        <w:t xml:space="preserve"> döntés az is, hogy e kamatot nem „csapják hozzá” a még meglévő tőketartozáshoz (nem lesz belőle kamatos kamat), hanem a futamidő meghosszabbodásával havi egyenlő részletekben lehet majd megfizetni azt.</w:t>
      </w:r>
    </w:p>
    <w:p w14:paraId="611A771C" w14:textId="77777777" w:rsidR="007706F3" w:rsidRDefault="00A046E1">
      <w:pPr>
        <w:pStyle w:val="BodyText"/>
        <w:ind w:left="794"/>
        <w:rPr>
          <w:i/>
          <w:iCs/>
        </w:rPr>
      </w:pPr>
      <w:r>
        <w:rPr>
          <w:i/>
          <w:iCs/>
        </w:rPr>
        <w:t>A havi terhek időbeli elosztása azok számára életfont</w:t>
      </w:r>
      <w:r>
        <w:rPr>
          <w:i/>
          <w:iCs/>
        </w:rPr>
        <w:t>osságú, akik továbbra is nehéz helyzetben vannak, így nincs más választásuk. A futamidő megnyújtása és az egyenletes törlesztés ugyanakkor azt is jelenti, hogy az adott ügyfelek tovább használják a bank pénzét, ami nyomán összességében több pénzt kell hite</w:t>
      </w:r>
      <w:r>
        <w:rPr>
          <w:i/>
          <w:iCs/>
        </w:rPr>
        <w:t>lintézetük felé fizetniük. A futamidő és az összes hitelteher azok számára nő meg elsősorban, akik esetében a moratórium igénybevételekor még amúgy is sok év volt hátra a törlesztésből, illetve magasabb volt a kamatuk (pl. mert jellemzően magasabb hiteldíj</w:t>
      </w:r>
      <w:r>
        <w:rPr>
          <w:i/>
          <w:iCs/>
        </w:rPr>
        <w:t>ú fogyasztási hitelük van).</w:t>
      </w:r>
    </w:p>
    <w:p w14:paraId="4F58515A" w14:textId="23560E69" w:rsidR="007706F3" w:rsidRDefault="00A046E1">
      <w:pPr>
        <w:pStyle w:val="BodyText"/>
        <w:ind w:left="794"/>
      </w:pPr>
      <w:r>
        <w:rPr>
          <w:i/>
          <w:iCs/>
        </w:rPr>
        <w:t xml:space="preserve">A Magyar Nemzeti Bank (MNB) idén júniusi </w:t>
      </w:r>
      <w:hyperlink r:id="rId7">
        <w:r>
          <w:rPr>
            <w:rStyle w:val="Internet-hivatkozs"/>
            <w:i/>
            <w:iCs/>
          </w:rPr>
          <w:t>Stabilitási je</w:t>
        </w:r>
        <w:r>
          <w:rPr>
            <w:rStyle w:val="Internet-hivatkozs"/>
            <w:i/>
            <w:iCs/>
          </w:rPr>
          <w:t>lentése</w:t>
        </w:r>
      </w:hyperlink>
      <w:r>
        <w:rPr>
          <w:i/>
          <w:iCs/>
        </w:rPr>
        <w:t xml:space="preserve"> szerint pl. közel 3 millió forinttal nőne meg az összes tartozása annak az adósnak, akinek egyébként még 15 millió forintnyi tőketartozása és 20 évnyi futamideje volna hátra 5 százalékos kamatú lakáshitelénél, s a moratórium elrendelésétől egészen </w:t>
      </w:r>
      <w:r>
        <w:rPr>
          <w:i/>
          <w:iCs/>
        </w:rPr>
        <w:t>2022. június végéig igényelné a fizetési stop-ot. Az ő futamideje (a moratóriumban eltöltött 27 hónapot is beszámítva) összesen 56 hónappal – azaz közel öt évvel – nyúlna meg.</w:t>
      </w:r>
    </w:p>
    <w:p w14:paraId="0A35BDEB" w14:textId="77777777" w:rsidR="007706F3" w:rsidRDefault="00A046E1">
      <w:pPr>
        <w:pStyle w:val="BodyText"/>
        <w:ind w:left="794"/>
        <w:rPr>
          <w:i/>
          <w:iCs/>
        </w:rPr>
      </w:pPr>
      <w:r>
        <w:rPr>
          <w:i/>
          <w:iCs/>
        </w:rPr>
        <w:t xml:space="preserve">Ugyancsak ennyivel, mintegy 58 hónappal kellene tovább fizetnie hitelét annak a </w:t>
      </w:r>
      <w:r>
        <w:rPr>
          <w:i/>
          <w:iCs/>
        </w:rPr>
        <w:t>moratórium lehetőségét végig kihasználó ügyfélnek, akinek 15 százalékos kamatozású, 1,5 millió forint összegű személyi kölcsöne van, s még 7 év hátralévő futamideje lett volna. Az ő összes hitelterhe a fizetési stop kapcsán felhalmozódó kamatok miatt 927 e</w:t>
      </w:r>
      <w:r>
        <w:rPr>
          <w:i/>
          <w:iCs/>
        </w:rPr>
        <w:t>zer forinttal nőne meg.</w:t>
      </w:r>
    </w:p>
    <w:p w14:paraId="4AC39A24" w14:textId="77777777" w:rsidR="007706F3" w:rsidRDefault="00A046E1">
      <w:pPr>
        <w:pStyle w:val="BodyText"/>
        <w:ind w:left="794"/>
        <w:rPr>
          <w:i/>
          <w:iCs/>
        </w:rPr>
      </w:pPr>
      <w:r>
        <w:rPr>
          <w:i/>
          <w:iCs/>
        </w:rPr>
        <w:t>A futamidővel nem rendelkező hiteltermékeknél – pl. a hitelkártyák moratórium előtt felvett hitelösszegénél – nem kerül sor futamidő hosszabbításra (kivéve, ha a hitelező intézmény ezt az ügyfelek számára kedvező egyoldalú szerződés</w:t>
      </w:r>
      <w:r>
        <w:rPr>
          <w:i/>
          <w:iCs/>
        </w:rPr>
        <w:t>módossal lehetővé teszi). Számukra így a törlesztési stop végével esedékessé válik a moratóriummal érintett teljes tartozás megfizetése. A futamidő nélküli hiteleknél ezért az adósoknak még lényegesebb mérlegelni a tartozás mielőbbi megfizetését.</w:t>
      </w:r>
    </w:p>
    <w:p w14:paraId="4CFD32A4" w14:textId="77777777" w:rsidR="007706F3" w:rsidRDefault="00A046E1">
      <w:pPr>
        <w:pStyle w:val="BodyText"/>
        <w:ind w:left="794"/>
      </w:pPr>
      <w:r>
        <w:rPr>
          <w:i/>
          <w:iCs/>
        </w:rPr>
        <w:t>Az MNB ho</w:t>
      </w:r>
      <w:r>
        <w:rPr>
          <w:i/>
          <w:iCs/>
        </w:rPr>
        <w:t xml:space="preserve">nlapján, </w:t>
      </w:r>
      <w:hyperlink r:id="rId8">
        <w:r>
          <w:rPr>
            <w:rStyle w:val="Internet-hivatkozs"/>
            <w:i/>
            <w:iCs/>
          </w:rPr>
          <w:t>ügyfélszolgálatán</w:t>
        </w:r>
      </w:hyperlink>
      <w:r>
        <w:rPr>
          <w:i/>
          <w:iCs/>
        </w:rPr>
        <w:t xml:space="preserve">, illetve a megyeszékhelyeken elérhető </w:t>
      </w:r>
      <w:hyperlink r:id="rId9">
        <w:r>
          <w:rPr>
            <w:rStyle w:val="Internet-hivatkozs"/>
            <w:i/>
            <w:iCs/>
          </w:rPr>
          <w:t xml:space="preserve">Pénzügyi Navigátor </w:t>
        </w:r>
        <w:r>
          <w:rPr>
            <w:rStyle w:val="Internet-hivatkozs"/>
            <w:i/>
            <w:iCs/>
          </w:rPr>
          <w:t>Tanácsadó irodahálózatában</w:t>
        </w:r>
      </w:hyperlink>
      <w:r>
        <w:rPr>
          <w:i/>
          <w:iCs/>
        </w:rPr>
        <w:t xml:space="preserve"> részletes információkat nyújt a moratóriumról és a törlesztési folytatásának lehetőségéről.</w:t>
      </w:r>
    </w:p>
    <w:p w14:paraId="288C9612" w14:textId="77777777" w:rsidR="007706F3" w:rsidRDefault="007706F3">
      <w:pPr>
        <w:pStyle w:val="BodyText"/>
        <w:ind w:left="794"/>
        <w:rPr>
          <w:i/>
          <w:iCs/>
        </w:rPr>
      </w:pPr>
    </w:p>
    <w:p w14:paraId="3465F7DF" w14:textId="77777777" w:rsidR="007706F3" w:rsidRDefault="007706F3">
      <w:pPr>
        <w:pStyle w:val="BodyText"/>
      </w:pPr>
    </w:p>
    <w:p w14:paraId="46E2FCDA" w14:textId="77777777" w:rsidR="007706F3" w:rsidRDefault="007706F3">
      <w:pPr>
        <w:pStyle w:val="BodyText"/>
      </w:pPr>
    </w:p>
    <w:p w14:paraId="0D0B250B" w14:textId="77777777" w:rsidR="007706F3" w:rsidRDefault="007706F3">
      <w:pPr>
        <w:pStyle w:val="BodyText"/>
      </w:pPr>
    </w:p>
    <w:sectPr w:rsidR="007706F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7E623" w14:textId="77777777" w:rsidR="00AA671C" w:rsidRDefault="00AA671C" w:rsidP="00AA671C">
      <w:r>
        <w:separator/>
      </w:r>
    </w:p>
  </w:endnote>
  <w:endnote w:type="continuationSeparator" w:id="0">
    <w:p w14:paraId="4611A942" w14:textId="77777777" w:rsidR="00AA671C" w:rsidRDefault="00AA671C" w:rsidP="00AA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swiss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E37C6" w14:textId="77777777" w:rsidR="00AA671C" w:rsidRDefault="00AA671C" w:rsidP="00AA671C">
      <w:r>
        <w:separator/>
      </w:r>
    </w:p>
  </w:footnote>
  <w:footnote w:type="continuationSeparator" w:id="0">
    <w:p w14:paraId="731E28FE" w14:textId="77777777" w:rsidR="00AA671C" w:rsidRDefault="00AA671C" w:rsidP="00AA6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6F3"/>
    <w:rsid w:val="007706F3"/>
    <w:rsid w:val="00A046E1"/>
    <w:rsid w:val="00AA671C"/>
    <w:rsid w:val="00B7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002C0"/>
  <w15:docId w15:val="{C020DED4-18B3-4FC2-BFF6-9C96D577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Cmsor"/>
    <w:next w:val="BodyText"/>
    <w:uiPriority w:val="9"/>
    <w:qFormat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rshangslyozs">
    <w:name w:val="Erős hangsúlyozás"/>
    <w:qFormat/>
    <w:rPr>
      <w:b/>
      <w:bCs/>
    </w:rPr>
  </w:style>
  <w:style w:type="character" w:customStyle="1" w:styleId="Internet-hivatkozs">
    <w:name w:val="Internet-hivatkozás"/>
    <w:rPr>
      <w:color w:val="000080"/>
      <w:u w:val="single"/>
      <w:lang/>
    </w:rPr>
  </w:style>
  <w:style w:type="paragraph" w:customStyle="1" w:styleId="Cmsor">
    <w:name w:val="Címsor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AA6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7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67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b.hu/fogyasztovedelem/elerhetosegek/keressen-fel-minket-budapest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nb.hu/letoltes/penzugyi-stabilitasi-jelentes-2021-juniu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quipmentfinance.societegenerale.com/fileadmin/user_upload/SGEF/Hungary/MoratoriumHosszab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mnb.hu/fogyasztovedelem/tanacsado-irod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714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WAGNER György          SGEF-HU</cp:lastModifiedBy>
  <cp:revision>4</cp:revision>
  <cp:lastPrinted>2021-09-22T10:22:00Z</cp:lastPrinted>
  <dcterms:created xsi:type="dcterms:W3CDTF">2021-09-22T10:46:00Z</dcterms:created>
  <dcterms:modified xsi:type="dcterms:W3CDTF">2021-09-22T10:25:00Z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992a7d-542b-44f7-8b4e-4a8cd39e7288_Enabled">
    <vt:lpwstr>true</vt:lpwstr>
  </property>
  <property fmtid="{D5CDD505-2E9C-101B-9397-08002B2CF9AE}" pid="3" name="MSIP_Label_eb992a7d-542b-44f7-8b4e-4a8cd39e7288_SetDate">
    <vt:lpwstr>2021-09-22T10:16:49Z</vt:lpwstr>
  </property>
  <property fmtid="{D5CDD505-2E9C-101B-9397-08002B2CF9AE}" pid="4" name="MSIP_Label_eb992a7d-542b-44f7-8b4e-4a8cd39e7288_Method">
    <vt:lpwstr>Privileged</vt:lpwstr>
  </property>
  <property fmtid="{D5CDD505-2E9C-101B-9397-08002B2CF9AE}" pid="5" name="MSIP_Label_eb992a7d-542b-44f7-8b4e-4a8cd39e7288_Name">
    <vt:lpwstr>eb992a7d-542b-44f7-8b4e-4a8cd39e7288</vt:lpwstr>
  </property>
  <property fmtid="{D5CDD505-2E9C-101B-9397-08002B2CF9AE}" pid="6" name="MSIP_Label_eb992a7d-542b-44f7-8b4e-4a8cd39e7288_SiteId">
    <vt:lpwstr>a491f8c5-c721-4e53-b604-6f27e7e4565d</vt:lpwstr>
  </property>
  <property fmtid="{D5CDD505-2E9C-101B-9397-08002B2CF9AE}" pid="7" name="MSIP_Label_eb992a7d-542b-44f7-8b4e-4a8cd39e7288_ActionId">
    <vt:lpwstr>35794be4-37ec-4af3-805a-4a43759771d3</vt:lpwstr>
  </property>
  <property fmtid="{D5CDD505-2E9C-101B-9397-08002B2CF9AE}" pid="8" name="MSIP_Label_eb992a7d-542b-44f7-8b4e-4a8cd39e7288_ContentBits">
    <vt:lpwstr>0</vt:lpwstr>
  </property>
</Properties>
</file>